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53" w:rsidRPr="000D3A45" w:rsidRDefault="00715553" w:rsidP="00715553">
      <w:pPr>
        <w:tabs>
          <w:tab w:val="left" w:pos="2203"/>
        </w:tabs>
        <w:rPr>
          <w:sz w:val="26"/>
          <w:szCs w:val="26"/>
        </w:rPr>
      </w:pPr>
      <w:r w:rsidRPr="000D3A45">
        <w:rPr>
          <w:sz w:val="26"/>
          <w:szCs w:val="26"/>
        </w:rPr>
        <w:t xml:space="preserve">                                           ГЕНЕРАЛЬНОЕ СОГЛАШЕНИЕ</w:t>
      </w:r>
    </w:p>
    <w:p w:rsidR="00715553" w:rsidRPr="000D3A45" w:rsidRDefault="00715553" w:rsidP="00715553">
      <w:pPr>
        <w:ind w:left="-142" w:right="-285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об общих условиях размещения срочных безотзывных банковских вкладов (депозитов)</w:t>
      </w:r>
    </w:p>
    <w:p w:rsidR="00715553" w:rsidRPr="000D3A45" w:rsidRDefault="00715553" w:rsidP="00715553">
      <w:pPr>
        <w:ind w:left="-142" w:right="-285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 xml:space="preserve">№ </w:t>
      </w:r>
      <w:r w:rsidRPr="000D3A45">
        <w:rPr>
          <w:sz w:val="26"/>
          <w:szCs w:val="26"/>
          <w:u w:val="single"/>
        </w:rPr>
        <w:t>(</w:t>
      </w:r>
      <w:r w:rsidRPr="000D3A45">
        <w:rPr>
          <w:i/>
          <w:sz w:val="26"/>
          <w:szCs w:val="26"/>
          <w:u w:val="single"/>
        </w:rPr>
        <w:t>вписать номер депозитного счета</w:t>
      </w:r>
      <w:r>
        <w:rPr>
          <w:i/>
          <w:sz w:val="26"/>
          <w:szCs w:val="26"/>
          <w:u w:val="single"/>
        </w:rPr>
        <w:t>/валюта</w:t>
      </w:r>
      <w:r w:rsidRPr="000D3A45">
        <w:rPr>
          <w:sz w:val="26"/>
          <w:szCs w:val="26"/>
          <w:u w:val="single"/>
        </w:rPr>
        <w:t>)</w:t>
      </w:r>
    </w:p>
    <w:p w:rsidR="00715553" w:rsidRPr="000D3A45" w:rsidRDefault="00715553" w:rsidP="00715553">
      <w:pPr>
        <w:ind w:right="142"/>
        <w:jc w:val="both"/>
        <w:rPr>
          <w:sz w:val="26"/>
          <w:szCs w:val="26"/>
        </w:rPr>
      </w:pPr>
    </w:p>
    <w:p w:rsidR="00715553" w:rsidRPr="000D3A45" w:rsidRDefault="00715553" w:rsidP="00715553">
      <w:pPr>
        <w:ind w:right="142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г. ___________</w:t>
      </w:r>
      <w:r w:rsidRPr="000D3A45">
        <w:rPr>
          <w:sz w:val="26"/>
          <w:szCs w:val="26"/>
        </w:rPr>
        <w:tab/>
      </w:r>
      <w:r w:rsidRPr="000D3A45">
        <w:rPr>
          <w:sz w:val="26"/>
          <w:szCs w:val="26"/>
        </w:rPr>
        <w:tab/>
      </w:r>
      <w:r w:rsidRPr="000D3A45">
        <w:rPr>
          <w:sz w:val="26"/>
          <w:szCs w:val="26"/>
        </w:rPr>
        <w:tab/>
      </w:r>
      <w:r w:rsidRPr="000D3A45">
        <w:rPr>
          <w:sz w:val="26"/>
          <w:szCs w:val="26"/>
        </w:rPr>
        <w:tab/>
      </w:r>
      <w:r w:rsidRPr="000D3A45">
        <w:rPr>
          <w:sz w:val="26"/>
          <w:szCs w:val="26"/>
        </w:rPr>
        <w:tab/>
      </w:r>
      <w:r w:rsidRPr="000D3A45">
        <w:rPr>
          <w:sz w:val="26"/>
          <w:szCs w:val="26"/>
        </w:rPr>
        <w:tab/>
        <w:t>«___» _____________20__ г.</w:t>
      </w:r>
    </w:p>
    <w:p w:rsidR="00715553" w:rsidRPr="000D3A45" w:rsidRDefault="00715553" w:rsidP="00715553">
      <w:pPr>
        <w:spacing w:before="60" w:after="6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 xml:space="preserve">1.ВКЛАДЧИК </w:t>
      </w:r>
    </w:p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1.</w:t>
      </w:r>
      <w:proofErr w:type="gramStart"/>
      <w:r w:rsidRPr="000D3A45">
        <w:rPr>
          <w:sz w:val="26"/>
          <w:szCs w:val="26"/>
        </w:rPr>
        <w:t>1.Полное</w:t>
      </w:r>
      <w:proofErr w:type="gramEnd"/>
      <w:r w:rsidRPr="000D3A45">
        <w:rPr>
          <w:sz w:val="26"/>
          <w:szCs w:val="26"/>
        </w:rPr>
        <w:t xml:space="preserve"> наименование Вкладчика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15553" w:rsidRPr="000D3A45" w:rsidTr="00DF0165">
        <w:tc>
          <w:tcPr>
            <w:tcW w:w="9828" w:type="dxa"/>
          </w:tcPr>
          <w:p w:rsidR="00715553" w:rsidRPr="000D3A45" w:rsidRDefault="00715553" w:rsidP="00DF0165">
            <w:pPr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1.</w:t>
      </w:r>
      <w:proofErr w:type="gramStart"/>
      <w:r w:rsidRPr="000D3A45">
        <w:rPr>
          <w:sz w:val="26"/>
          <w:szCs w:val="26"/>
        </w:rPr>
        <w:t>2.Коды</w:t>
      </w:r>
      <w:proofErr w:type="gramEnd"/>
      <w:r w:rsidRPr="000D3A45">
        <w:rPr>
          <w:sz w:val="26"/>
          <w:szCs w:val="26"/>
        </w:rPr>
        <w:t xml:space="preserve"> Вкладчика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650"/>
      </w:tblGrid>
      <w:tr w:rsidR="00715553" w:rsidRPr="000D3A45" w:rsidTr="00DF0165">
        <w:tc>
          <w:tcPr>
            <w:tcW w:w="2392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УНП</w:t>
            </w:r>
          </w:p>
        </w:tc>
        <w:tc>
          <w:tcPr>
            <w:tcW w:w="2393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ОКПО</w:t>
            </w:r>
          </w:p>
        </w:tc>
        <w:tc>
          <w:tcPr>
            <w:tcW w:w="2650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1.</w:t>
      </w:r>
      <w:proofErr w:type="gramStart"/>
      <w:r w:rsidRPr="000D3A45">
        <w:rPr>
          <w:sz w:val="26"/>
          <w:szCs w:val="26"/>
        </w:rPr>
        <w:t>3.Банковские</w:t>
      </w:r>
      <w:proofErr w:type="gramEnd"/>
      <w:r w:rsidRPr="000D3A45">
        <w:rPr>
          <w:sz w:val="26"/>
          <w:szCs w:val="26"/>
        </w:rPr>
        <w:t xml:space="preserve"> реквизиты Вкладчика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063"/>
        <w:gridCol w:w="1984"/>
        <w:gridCol w:w="1134"/>
        <w:gridCol w:w="1782"/>
      </w:tblGrid>
      <w:tr w:rsidR="00715553" w:rsidRPr="000D3A45" w:rsidTr="00DF0165">
        <w:tc>
          <w:tcPr>
            <w:tcW w:w="865" w:type="dxa"/>
          </w:tcPr>
          <w:p w:rsidR="00715553" w:rsidRPr="000D3A45" w:rsidRDefault="00715553" w:rsidP="00DF0165">
            <w:pPr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№ счета</w:t>
            </w:r>
          </w:p>
        </w:tc>
        <w:tc>
          <w:tcPr>
            <w:tcW w:w="4063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Банк</w:t>
            </w:r>
          </w:p>
        </w:tc>
        <w:tc>
          <w:tcPr>
            <w:tcW w:w="1134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Город</w:t>
            </w:r>
          </w:p>
        </w:tc>
        <w:tc>
          <w:tcPr>
            <w:tcW w:w="1782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БИК</w:t>
            </w: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1.</w:t>
      </w:r>
      <w:proofErr w:type="gramStart"/>
      <w:r w:rsidRPr="000D3A45">
        <w:rPr>
          <w:sz w:val="26"/>
          <w:szCs w:val="26"/>
        </w:rPr>
        <w:t>4.Представитель</w:t>
      </w:r>
      <w:proofErr w:type="gramEnd"/>
      <w:r w:rsidRPr="000D3A45">
        <w:rPr>
          <w:sz w:val="26"/>
          <w:szCs w:val="26"/>
        </w:rPr>
        <w:t xml:space="preserve"> Вкладчика (лицо, подписывающее от имени Вкладчика договор)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4044"/>
        <w:gridCol w:w="1529"/>
        <w:gridCol w:w="2666"/>
      </w:tblGrid>
      <w:tr w:rsidR="00715553" w:rsidRPr="000D3A45" w:rsidTr="00DF0165">
        <w:tc>
          <w:tcPr>
            <w:tcW w:w="1590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4098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Действует на основании</w:t>
            </w:r>
          </w:p>
        </w:tc>
        <w:tc>
          <w:tcPr>
            <w:tcW w:w="2700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1.</w:t>
      </w:r>
      <w:proofErr w:type="gramStart"/>
      <w:r w:rsidRPr="000D3A45">
        <w:rPr>
          <w:sz w:val="26"/>
          <w:szCs w:val="26"/>
        </w:rPr>
        <w:t>5.Адрес</w:t>
      </w:r>
      <w:proofErr w:type="gramEnd"/>
      <w:r w:rsidRPr="000D3A45">
        <w:rPr>
          <w:sz w:val="26"/>
          <w:szCs w:val="26"/>
        </w:rPr>
        <w:t xml:space="preserve"> местонахождения Вкладчика в соответствии с уставом\свидетельством о регистрации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15553" w:rsidRPr="000D3A45" w:rsidTr="00DF0165">
        <w:tc>
          <w:tcPr>
            <w:tcW w:w="9828" w:type="dxa"/>
          </w:tcPr>
          <w:p w:rsidR="00715553" w:rsidRPr="000D3A45" w:rsidRDefault="00715553" w:rsidP="00DF0165">
            <w:pPr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1.</w:t>
      </w:r>
      <w:proofErr w:type="gramStart"/>
      <w:r w:rsidRPr="000D3A45">
        <w:rPr>
          <w:sz w:val="26"/>
          <w:szCs w:val="26"/>
        </w:rPr>
        <w:t>6.Почтовый</w:t>
      </w:r>
      <w:proofErr w:type="gramEnd"/>
      <w:r w:rsidRPr="000D3A45">
        <w:rPr>
          <w:sz w:val="26"/>
          <w:szCs w:val="26"/>
        </w:rPr>
        <w:t xml:space="preserve"> адрес Вкладчика для корреспонденции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15553" w:rsidRPr="000D3A45" w:rsidTr="00DF0165">
        <w:tc>
          <w:tcPr>
            <w:tcW w:w="9828" w:type="dxa"/>
          </w:tcPr>
          <w:p w:rsidR="00715553" w:rsidRPr="000D3A45" w:rsidRDefault="00715553" w:rsidP="00DF0165">
            <w:pPr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spacing w:before="60" w:after="6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2.ВКЛАДОПОЛУЧАТЕЛЬ</w:t>
      </w:r>
    </w:p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2.</w:t>
      </w:r>
      <w:proofErr w:type="gramStart"/>
      <w:r w:rsidRPr="000D3A45">
        <w:rPr>
          <w:sz w:val="26"/>
          <w:szCs w:val="26"/>
        </w:rPr>
        <w:t>1.Полное</w:t>
      </w:r>
      <w:proofErr w:type="gramEnd"/>
      <w:r w:rsidRPr="000D3A45">
        <w:rPr>
          <w:sz w:val="26"/>
          <w:szCs w:val="26"/>
        </w:rPr>
        <w:t xml:space="preserve"> наименование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15553" w:rsidRPr="000D3A45" w:rsidTr="00DF0165">
        <w:tc>
          <w:tcPr>
            <w:tcW w:w="9828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Открытое акционерное общество «</w:t>
            </w:r>
            <w:proofErr w:type="spellStart"/>
            <w:r w:rsidRPr="000D3A45">
              <w:rPr>
                <w:sz w:val="26"/>
                <w:szCs w:val="26"/>
              </w:rPr>
              <w:t>Технобанк</w:t>
            </w:r>
            <w:proofErr w:type="spellEnd"/>
            <w:r w:rsidRPr="000D3A45">
              <w:rPr>
                <w:sz w:val="26"/>
                <w:szCs w:val="26"/>
              </w:rPr>
              <w:t xml:space="preserve">»  </w:t>
            </w: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2.</w:t>
      </w:r>
      <w:proofErr w:type="gramStart"/>
      <w:r w:rsidRPr="000D3A45">
        <w:rPr>
          <w:sz w:val="26"/>
          <w:szCs w:val="26"/>
        </w:rPr>
        <w:t>2.Коды</w:t>
      </w:r>
      <w:proofErr w:type="gramEnd"/>
      <w:r w:rsidRPr="000D3A45">
        <w:rPr>
          <w:sz w:val="26"/>
          <w:szCs w:val="26"/>
        </w:rPr>
        <w:t xml:space="preserve">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650"/>
      </w:tblGrid>
      <w:tr w:rsidR="00715553" w:rsidRPr="000D3A45" w:rsidTr="00DF0165">
        <w:tc>
          <w:tcPr>
            <w:tcW w:w="2392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  <w:lang w:val="en-US"/>
              </w:rPr>
            </w:pPr>
            <w:r w:rsidRPr="000D3A45">
              <w:rPr>
                <w:sz w:val="26"/>
                <w:szCs w:val="26"/>
              </w:rPr>
              <w:t>УНП</w:t>
            </w:r>
            <w:r w:rsidRPr="000D3A45">
              <w:rPr>
                <w:sz w:val="26"/>
                <w:szCs w:val="26"/>
                <w:lang w:val="en-US"/>
              </w:rPr>
              <w:t xml:space="preserve"> 100 706 562</w:t>
            </w:r>
          </w:p>
        </w:tc>
        <w:tc>
          <w:tcPr>
            <w:tcW w:w="2393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  <w:lang w:val="en-US"/>
              </w:rPr>
            </w:pPr>
            <w:r w:rsidRPr="000D3A45">
              <w:rPr>
                <w:sz w:val="26"/>
                <w:szCs w:val="26"/>
              </w:rPr>
              <w:t xml:space="preserve">БИК </w:t>
            </w:r>
            <w:r w:rsidRPr="000D3A45">
              <w:rPr>
                <w:sz w:val="26"/>
                <w:szCs w:val="26"/>
                <w:lang w:val="en-US"/>
              </w:rPr>
              <w:t>TECNBY22</w:t>
            </w:r>
          </w:p>
        </w:tc>
        <w:tc>
          <w:tcPr>
            <w:tcW w:w="2393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ОКПО 37364470</w:t>
            </w:r>
          </w:p>
        </w:tc>
        <w:tc>
          <w:tcPr>
            <w:tcW w:w="2650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2.</w:t>
      </w:r>
      <w:proofErr w:type="gramStart"/>
      <w:r w:rsidRPr="000D3A45">
        <w:rPr>
          <w:sz w:val="26"/>
          <w:szCs w:val="26"/>
        </w:rPr>
        <w:t>3.Банковские</w:t>
      </w:r>
      <w:proofErr w:type="gramEnd"/>
      <w:r w:rsidRPr="000D3A45">
        <w:rPr>
          <w:sz w:val="26"/>
          <w:szCs w:val="26"/>
        </w:rPr>
        <w:t xml:space="preserve"> реквизиты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252"/>
        <w:gridCol w:w="1843"/>
        <w:gridCol w:w="1134"/>
        <w:gridCol w:w="1814"/>
      </w:tblGrid>
      <w:tr w:rsidR="00715553" w:rsidRPr="000D3A45" w:rsidTr="00DF0165">
        <w:tc>
          <w:tcPr>
            <w:tcW w:w="846" w:type="dxa"/>
          </w:tcPr>
          <w:p w:rsidR="00715553" w:rsidRPr="000D3A45" w:rsidRDefault="00715553" w:rsidP="00DF0165">
            <w:pPr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 xml:space="preserve">№ </w:t>
            </w:r>
            <w:proofErr w:type="spellStart"/>
            <w:r w:rsidRPr="000D3A45">
              <w:rPr>
                <w:sz w:val="26"/>
                <w:szCs w:val="26"/>
              </w:rPr>
              <w:t>кор</w:t>
            </w:r>
            <w:proofErr w:type="spellEnd"/>
            <w:r w:rsidRPr="000D3A45">
              <w:rPr>
                <w:sz w:val="26"/>
                <w:szCs w:val="26"/>
              </w:rPr>
              <w:t>. счета</w:t>
            </w:r>
          </w:p>
        </w:tc>
        <w:tc>
          <w:tcPr>
            <w:tcW w:w="4252" w:type="dxa"/>
          </w:tcPr>
          <w:p w:rsidR="00715553" w:rsidRPr="000D3A45" w:rsidRDefault="00715553" w:rsidP="00DF0165">
            <w:pPr>
              <w:autoSpaceDE w:val="0"/>
              <w:autoSpaceDN w:val="0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BY07NBRB32000018200150000000</w:t>
            </w:r>
          </w:p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Банк: НБ РБ</w:t>
            </w:r>
          </w:p>
        </w:tc>
        <w:tc>
          <w:tcPr>
            <w:tcW w:w="1134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Город Минск</w:t>
            </w:r>
          </w:p>
        </w:tc>
        <w:tc>
          <w:tcPr>
            <w:tcW w:w="1814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БИК NBRBBY2X</w:t>
            </w: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2.</w:t>
      </w:r>
      <w:proofErr w:type="gramStart"/>
      <w:r w:rsidRPr="000D3A45">
        <w:rPr>
          <w:sz w:val="26"/>
          <w:szCs w:val="26"/>
        </w:rPr>
        <w:t>4.Представитель</w:t>
      </w:r>
      <w:proofErr w:type="gramEnd"/>
      <w:r w:rsidRPr="000D3A45">
        <w:rPr>
          <w:sz w:val="26"/>
          <w:szCs w:val="26"/>
        </w:rPr>
        <w:t xml:space="preserve">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 xml:space="preserve"> (лицо, подписывающее от имени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 xml:space="preserve"> договор)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4255"/>
        <w:gridCol w:w="2086"/>
        <w:gridCol w:w="1897"/>
      </w:tblGrid>
      <w:tr w:rsidR="00715553" w:rsidRPr="000D3A45" w:rsidTr="00DF0165">
        <w:tc>
          <w:tcPr>
            <w:tcW w:w="1590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4255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  <w:tc>
          <w:tcPr>
            <w:tcW w:w="2086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r w:rsidRPr="000D3A45">
              <w:rPr>
                <w:sz w:val="26"/>
                <w:szCs w:val="26"/>
              </w:rPr>
              <w:t>Действует на основании</w:t>
            </w:r>
          </w:p>
        </w:tc>
        <w:tc>
          <w:tcPr>
            <w:tcW w:w="1897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</w:p>
        </w:tc>
      </w:tr>
    </w:tbl>
    <w:p w:rsidR="00715553" w:rsidRPr="000D3A45" w:rsidRDefault="00715553" w:rsidP="00715553">
      <w:pPr>
        <w:ind w:right="142"/>
        <w:rPr>
          <w:sz w:val="26"/>
          <w:szCs w:val="26"/>
        </w:rPr>
      </w:pPr>
      <w:r w:rsidRPr="000D3A45">
        <w:rPr>
          <w:sz w:val="26"/>
          <w:szCs w:val="26"/>
        </w:rPr>
        <w:t>2.</w:t>
      </w:r>
      <w:proofErr w:type="gramStart"/>
      <w:r w:rsidRPr="000D3A45">
        <w:rPr>
          <w:sz w:val="26"/>
          <w:szCs w:val="26"/>
        </w:rPr>
        <w:t>5.Адрес</w:t>
      </w:r>
      <w:proofErr w:type="gramEnd"/>
      <w:r w:rsidRPr="000D3A45">
        <w:rPr>
          <w:sz w:val="26"/>
          <w:szCs w:val="26"/>
        </w:rPr>
        <w:t xml:space="preserve"> местонахождения и почтовый адрес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15553" w:rsidRPr="000D3A45" w:rsidTr="00DF0165">
        <w:tc>
          <w:tcPr>
            <w:tcW w:w="9828" w:type="dxa"/>
          </w:tcPr>
          <w:p w:rsidR="00715553" w:rsidRPr="000D3A45" w:rsidRDefault="00715553" w:rsidP="00DF0165">
            <w:pPr>
              <w:ind w:right="142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02, г"/>
              </w:smartTagPr>
              <w:r w:rsidRPr="000D3A45">
                <w:rPr>
                  <w:sz w:val="26"/>
                  <w:szCs w:val="26"/>
                </w:rPr>
                <w:t>220002, г</w:t>
              </w:r>
            </w:smartTag>
            <w:r w:rsidRPr="000D3A45">
              <w:rPr>
                <w:sz w:val="26"/>
                <w:szCs w:val="26"/>
              </w:rPr>
              <w:t>. Минск, ул. Кропоткина, 44</w:t>
            </w:r>
          </w:p>
        </w:tc>
      </w:tr>
    </w:tbl>
    <w:p w:rsidR="00715553" w:rsidRPr="000D3A45" w:rsidRDefault="00715553" w:rsidP="00715553">
      <w:pPr>
        <w:spacing w:before="120" w:after="60"/>
        <w:ind w:right="49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 xml:space="preserve">3.ПРЕДМЕТ СОГЛАШЕНИЯ </w:t>
      </w:r>
    </w:p>
    <w:p w:rsidR="00715553" w:rsidRPr="000D3A45" w:rsidRDefault="00715553" w:rsidP="00715553">
      <w:pPr>
        <w:spacing w:before="60" w:after="60"/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3.1. Настоящее Генеральное соглашение определяет общие условия и порядок совершения сторонами сделок по размещению денежных средств во вклады. </w:t>
      </w:r>
    </w:p>
    <w:p w:rsidR="00715553" w:rsidRPr="000D3A45" w:rsidRDefault="00715553" w:rsidP="00715553">
      <w:pPr>
        <w:pStyle w:val="a3"/>
        <w:tabs>
          <w:tab w:val="left" w:pos="0"/>
        </w:tabs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3.2. Вкладчик размещает денежные средства во вклады (депозиты) (далее – вклад, вклады) путем перечисления денежных средств на открытый у </w:t>
      </w:r>
      <w:proofErr w:type="spellStart"/>
      <w:r w:rsidRPr="000D3A45">
        <w:rPr>
          <w:b w:val="0"/>
          <w:sz w:val="26"/>
          <w:szCs w:val="26"/>
        </w:rPr>
        <w:t>Вкладополучателя</w:t>
      </w:r>
      <w:proofErr w:type="spellEnd"/>
      <w:r w:rsidRPr="000D3A45">
        <w:rPr>
          <w:b w:val="0"/>
          <w:sz w:val="26"/>
          <w:szCs w:val="26"/>
        </w:rPr>
        <w:t xml:space="preserve"> Депозитный счет №____________________. </w:t>
      </w:r>
    </w:p>
    <w:p w:rsidR="00715553" w:rsidRPr="000D3A45" w:rsidRDefault="00715553" w:rsidP="00715553">
      <w:pPr>
        <w:pStyle w:val="a3"/>
        <w:tabs>
          <w:tab w:val="left" w:pos="0"/>
        </w:tabs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3.3. </w:t>
      </w:r>
      <w:proofErr w:type="spellStart"/>
      <w:r w:rsidRPr="000D3A45">
        <w:rPr>
          <w:b w:val="0"/>
          <w:sz w:val="26"/>
          <w:szCs w:val="26"/>
        </w:rPr>
        <w:t>Вкладополучатель</w:t>
      </w:r>
      <w:proofErr w:type="spellEnd"/>
      <w:r w:rsidRPr="000D3A45">
        <w:rPr>
          <w:b w:val="0"/>
          <w:sz w:val="26"/>
          <w:szCs w:val="26"/>
        </w:rPr>
        <w:t xml:space="preserve"> зачисляет денежные средства во вклады, обеспечивает их сохранность, проводит безналичные расчеты по поручению Вкладчика с </w:t>
      </w:r>
      <w:r w:rsidRPr="000D3A45">
        <w:rPr>
          <w:b w:val="0"/>
          <w:sz w:val="26"/>
          <w:szCs w:val="26"/>
        </w:rPr>
        <w:lastRenderedPageBreak/>
        <w:t>депозитного счета Вкладчика на текущие (расчетные) счета Вкладчика, начисляет на сумму вкладов проценты, возвращает вклады и уплачивает проценты Вкладчику в соответствии с согласованными сторонами условиями.</w:t>
      </w:r>
    </w:p>
    <w:p w:rsidR="00715553" w:rsidRPr="000D3A45" w:rsidRDefault="00715553" w:rsidP="00715553">
      <w:pPr>
        <w:pStyle w:val="a3"/>
        <w:tabs>
          <w:tab w:val="left" w:pos="0"/>
        </w:tabs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3.4. Существенные условия каждого вклада указываются в Депозитной заявке, оформленной по форме, приведенной в Приложении к настоящему Генеральному соглашению, на основании которой происходит непосредственное размещение денежных средств во вклад. Депозитные заявки, подписанные уполномоченными представителями Вкладчика и принятые к исполнению </w:t>
      </w:r>
      <w:proofErr w:type="spellStart"/>
      <w:r w:rsidRPr="000D3A45">
        <w:rPr>
          <w:b w:val="0"/>
          <w:sz w:val="26"/>
          <w:szCs w:val="26"/>
        </w:rPr>
        <w:t>Вкладополучателем</w:t>
      </w:r>
      <w:proofErr w:type="spellEnd"/>
      <w:r w:rsidRPr="000D3A45">
        <w:rPr>
          <w:b w:val="0"/>
          <w:sz w:val="26"/>
          <w:szCs w:val="26"/>
        </w:rPr>
        <w:t>, свидетельствуют о согласовании сторонами условий соответствующих сделок по размещению денежных средств во вклады и являются неотъемлемой частью настоящего Генерального соглашения.</w:t>
      </w:r>
    </w:p>
    <w:p w:rsidR="00715553" w:rsidRPr="000D3A45" w:rsidRDefault="00715553" w:rsidP="00715553">
      <w:pPr>
        <w:ind w:right="142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3.5. Вкладчик вправе распоряжаться денежными средствами, размещенными во вкладе путем предоставления </w:t>
      </w:r>
      <w:proofErr w:type="spellStart"/>
      <w:r w:rsidRPr="000D3A45">
        <w:rPr>
          <w:sz w:val="26"/>
          <w:szCs w:val="26"/>
        </w:rPr>
        <w:t>Вкладополучателю</w:t>
      </w:r>
      <w:proofErr w:type="spellEnd"/>
      <w:r w:rsidRPr="000D3A45">
        <w:rPr>
          <w:sz w:val="26"/>
          <w:szCs w:val="26"/>
        </w:rPr>
        <w:t xml:space="preserve"> платежных инструкций, составленных в соответствии с требованиями законодательства, с учетом условий настоящего Генерального соглашения, иных локальных актов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>.</w:t>
      </w:r>
    </w:p>
    <w:p w:rsidR="00715553" w:rsidRPr="000D3A45" w:rsidRDefault="00715553" w:rsidP="00715553">
      <w:pPr>
        <w:spacing w:before="120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4.ОБЩИЕ УСЛОВИЯ ВКЛАДА (ДЕПОЗИТА)</w:t>
      </w:r>
    </w:p>
    <w:p w:rsidR="00715553" w:rsidRPr="000D3A45" w:rsidRDefault="00715553" w:rsidP="00715553">
      <w:pPr>
        <w:pStyle w:val="a3"/>
        <w:tabs>
          <w:tab w:val="left" w:pos="0"/>
        </w:tabs>
        <w:ind w:right="49"/>
        <w:jc w:val="center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>4.1. Условия вклада</w:t>
      </w:r>
    </w:p>
    <w:p w:rsidR="00715553" w:rsidRPr="000D3A45" w:rsidRDefault="00715553" w:rsidP="00715553">
      <w:pPr>
        <w:pStyle w:val="a3"/>
        <w:tabs>
          <w:tab w:val="left" w:pos="0"/>
        </w:tabs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>4.1.1. Вид вкладов, размещаемых в рамках настоящего Генерального соглашения – срочный безотзывный банковский вклад.</w:t>
      </w:r>
    </w:p>
    <w:p w:rsidR="00715553" w:rsidRPr="000D3A45" w:rsidRDefault="00715553" w:rsidP="00715553">
      <w:pPr>
        <w:pStyle w:val="a3"/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>4.1.2. Сумма денежных средств, размещаемых Вкладчиком во вклад, дата размещения (начала) и возврата (окончания) вклада, проценты по вкладу согласовываются Сторонами по каждому отдельному вкладу на основании соответствующей Депозитной заявки.</w:t>
      </w:r>
    </w:p>
    <w:p w:rsidR="00715553" w:rsidRPr="000D3A45" w:rsidRDefault="00715553" w:rsidP="00715553">
      <w:pPr>
        <w:pStyle w:val="a3"/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4.1.3. </w:t>
      </w:r>
      <w:proofErr w:type="spellStart"/>
      <w:r w:rsidRPr="000D3A45">
        <w:rPr>
          <w:b w:val="0"/>
          <w:sz w:val="26"/>
          <w:szCs w:val="26"/>
        </w:rPr>
        <w:t>Вкладополучатель</w:t>
      </w:r>
      <w:proofErr w:type="spellEnd"/>
      <w:r w:rsidRPr="000D3A45">
        <w:rPr>
          <w:b w:val="0"/>
          <w:sz w:val="26"/>
          <w:szCs w:val="26"/>
        </w:rPr>
        <w:t xml:space="preserve"> вправе без предварительного уведомления списывать в установленном законодательством порядке с Депозитного счета Вкладчика все суммы причитающихся </w:t>
      </w:r>
      <w:proofErr w:type="spellStart"/>
      <w:r w:rsidRPr="000D3A45">
        <w:rPr>
          <w:b w:val="0"/>
          <w:sz w:val="26"/>
          <w:szCs w:val="26"/>
        </w:rPr>
        <w:t>Вкладополучателю</w:t>
      </w:r>
      <w:proofErr w:type="spellEnd"/>
      <w:r w:rsidRPr="000D3A45">
        <w:rPr>
          <w:b w:val="0"/>
          <w:sz w:val="26"/>
          <w:szCs w:val="26"/>
        </w:rPr>
        <w:t xml:space="preserve"> платежей и санкций по любым обязательствам платежными требованиями банка, платежными ордерами или иными аналогичными платежными инструментами (мемориальный ордер и др.) банка в соответствии с законодательством Республики Беларусь. При списании с Депозитного счета денежных средств в валюте, отличной от валюты обязательства Вкладчика перед </w:t>
      </w:r>
      <w:proofErr w:type="spellStart"/>
      <w:r w:rsidRPr="000D3A45">
        <w:rPr>
          <w:b w:val="0"/>
          <w:sz w:val="26"/>
          <w:szCs w:val="26"/>
        </w:rPr>
        <w:t>Вкладополучателем</w:t>
      </w:r>
      <w:proofErr w:type="spellEnd"/>
      <w:r w:rsidRPr="000D3A45">
        <w:rPr>
          <w:b w:val="0"/>
          <w:sz w:val="26"/>
          <w:szCs w:val="26"/>
        </w:rPr>
        <w:t xml:space="preserve">, применяется курс для исполнения обязательств, выраженных в иностранной валюте, установленный у </w:t>
      </w:r>
      <w:proofErr w:type="spellStart"/>
      <w:r w:rsidRPr="000D3A45">
        <w:rPr>
          <w:b w:val="0"/>
          <w:sz w:val="26"/>
          <w:szCs w:val="26"/>
        </w:rPr>
        <w:t>Вкладополучателя</w:t>
      </w:r>
      <w:proofErr w:type="spellEnd"/>
      <w:r w:rsidRPr="000D3A45">
        <w:rPr>
          <w:b w:val="0"/>
          <w:sz w:val="26"/>
          <w:szCs w:val="26"/>
        </w:rPr>
        <w:t xml:space="preserve"> на дату списания.       </w:t>
      </w:r>
    </w:p>
    <w:p w:rsidR="00715553" w:rsidRPr="000D3A45" w:rsidRDefault="00715553" w:rsidP="00715553">
      <w:pPr>
        <w:pStyle w:val="a3"/>
        <w:ind w:right="49"/>
        <w:jc w:val="both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4.1.4. Вкладчик вправе в день окончания вклада разместить вклад на новый срок путем подачи соответствующей Заявки на продление вклада на новый срок, при этом обязательство </w:t>
      </w:r>
      <w:proofErr w:type="spellStart"/>
      <w:r w:rsidRPr="000D3A45">
        <w:rPr>
          <w:b w:val="0"/>
          <w:sz w:val="26"/>
          <w:szCs w:val="26"/>
        </w:rPr>
        <w:t>Вкладополучателя</w:t>
      </w:r>
      <w:proofErr w:type="spellEnd"/>
      <w:r w:rsidRPr="000D3A45">
        <w:rPr>
          <w:b w:val="0"/>
          <w:sz w:val="26"/>
          <w:szCs w:val="26"/>
        </w:rPr>
        <w:t xml:space="preserve"> по возврату вклада возникает в срок, указанный в такой Заявке. При приеме к исполнению такой Заявки </w:t>
      </w:r>
      <w:proofErr w:type="spellStart"/>
      <w:r w:rsidRPr="000D3A45">
        <w:rPr>
          <w:b w:val="0"/>
          <w:sz w:val="26"/>
          <w:szCs w:val="26"/>
        </w:rPr>
        <w:t>Вкладополучатель</w:t>
      </w:r>
      <w:proofErr w:type="spellEnd"/>
      <w:r w:rsidRPr="000D3A45">
        <w:rPr>
          <w:b w:val="0"/>
          <w:sz w:val="26"/>
          <w:szCs w:val="26"/>
        </w:rPr>
        <w:t xml:space="preserve"> учитывает размещенные денежные средства в качестве нового вклада. При этом в случае, если сумма таких денежных средств превышает размер нового вклада, то Вкладчику возвращается разница между суммой ранее размещенного вклада и суммой нового вклада на основании платежного поручения Вкладчика, представленного </w:t>
      </w:r>
      <w:proofErr w:type="spellStart"/>
      <w:r w:rsidRPr="000D3A45">
        <w:rPr>
          <w:b w:val="0"/>
          <w:sz w:val="26"/>
          <w:szCs w:val="26"/>
        </w:rPr>
        <w:t>Вкладополучателю</w:t>
      </w:r>
      <w:proofErr w:type="spellEnd"/>
      <w:r w:rsidRPr="000D3A45">
        <w:rPr>
          <w:b w:val="0"/>
          <w:sz w:val="26"/>
          <w:szCs w:val="26"/>
        </w:rPr>
        <w:t xml:space="preserve">, если сумма таких денежных средств менее размера нового вклада, то Вкладчик перечисляет во вклад недостающую сумму в день размещения вклада. 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4.1.5. Если условием соответствующей Депозитной заявки не предусмотрено иное, досрочный возврат вклада и/или его части по инициативе Вкладчика возможен по согласованию с </w:t>
      </w:r>
      <w:proofErr w:type="spellStart"/>
      <w:r w:rsidRPr="000D3A45">
        <w:rPr>
          <w:sz w:val="26"/>
          <w:szCs w:val="26"/>
        </w:rPr>
        <w:t>Вкладополучателем</w:t>
      </w:r>
      <w:proofErr w:type="spellEnd"/>
      <w:r w:rsidRPr="000D3A45">
        <w:rPr>
          <w:sz w:val="26"/>
          <w:szCs w:val="26"/>
        </w:rPr>
        <w:t xml:space="preserve">. Для досрочного возврата срочного вклада </w:t>
      </w:r>
      <w:r w:rsidRPr="000D3A45">
        <w:rPr>
          <w:sz w:val="26"/>
          <w:szCs w:val="26"/>
        </w:rPr>
        <w:lastRenderedPageBreak/>
        <w:t xml:space="preserve">и/или его части Вкладчик представляет </w:t>
      </w:r>
      <w:proofErr w:type="spellStart"/>
      <w:r w:rsidRPr="000D3A45">
        <w:rPr>
          <w:sz w:val="26"/>
          <w:szCs w:val="26"/>
        </w:rPr>
        <w:t>Вкладополучателю</w:t>
      </w:r>
      <w:proofErr w:type="spellEnd"/>
      <w:r w:rsidRPr="000D3A45">
        <w:rPr>
          <w:sz w:val="26"/>
          <w:szCs w:val="26"/>
        </w:rPr>
        <w:t xml:space="preserve"> платежное поручение на возврат вклада/его части. В случае согласования </w:t>
      </w:r>
      <w:proofErr w:type="spellStart"/>
      <w:r w:rsidRPr="000D3A45">
        <w:rPr>
          <w:sz w:val="26"/>
          <w:szCs w:val="26"/>
        </w:rPr>
        <w:t>Вкладополучателем</w:t>
      </w:r>
      <w:proofErr w:type="spellEnd"/>
      <w:r w:rsidRPr="000D3A45">
        <w:rPr>
          <w:sz w:val="26"/>
          <w:szCs w:val="26"/>
        </w:rPr>
        <w:t xml:space="preserve"> досрочного возврата вклада/его части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принимает платежное поручение к исполнению и возвращает Вкладчику сумму вклада/его части не позднее 2 (двух) банковских дней, а также при возврате всей суммы вклада выплачивает начисленные проценты. </w:t>
      </w:r>
    </w:p>
    <w:p w:rsidR="00715553" w:rsidRPr="00173388" w:rsidRDefault="00715553" w:rsidP="00715553">
      <w:pPr>
        <w:autoSpaceDE w:val="0"/>
        <w:autoSpaceDN w:val="0"/>
        <w:spacing w:before="40" w:after="40"/>
        <w:jc w:val="both"/>
        <w:rPr>
          <w:sz w:val="22"/>
          <w:szCs w:val="22"/>
        </w:rPr>
      </w:pPr>
      <w:r w:rsidRPr="000D3A45">
        <w:rPr>
          <w:sz w:val="26"/>
          <w:szCs w:val="26"/>
        </w:rPr>
        <w:t xml:space="preserve">4.1.6.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осуществляет возврат вклада в соответствии с условиями настоящего Генерального соглашения и Депозитной заявки на размещение денежных средств во вклад на основании платежных инструкций Вкладчика, представленных </w:t>
      </w:r>
      <w:proofErr w:type="spellStart"/>
      <w:r w:rsidRPr="00173388">
        <w:rPr>
          <w:sz w:val="26"/>
          <w:szCs w:val="26"/>
        </w:rPr>
        <w:t>Вкладополучателю</w:t>
      </w:r>
      <w:proofErr w:type="spellEnd"/>
      <w:r w:rsidRPr="00173388">
        <w:rPr>
          <w:sz w:val="26"/>
          <w:szCs w:val="26"/>
        </w:rPr>
        <w:t xml:space="preserve"> не позднее 16 часов дня окончания срока вклада</w:t>
      </w:r>
      <w:r>
        <w:rPr>
          <w:sz w:val="26"/>
          <w:szCs w:val="26"/>
        </w:rPr>
        <w:t xml:space="preserve"> (в день, предшествующий государственному празднику или праздничному дню, установленному и объявленному нерабочим в соответствии с законодательством, указанное время сокращается на 1 (один) час).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В случае предоставления Вкладчиком платежной инструкции в более поздний срок,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обязан возвратить вклад (депозит) и уплатить начисленные проценты не позднее 2 (двух) календарных дней со дня предоставления Вкладчиком соответствующего платежного поручения.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4.1.7. Счет Вкладчика для возврата суммы вклада (депозита) и уплаты процентов - №____________________ в _______________________, БИК_____ если иной текущий (расчетный) счет Вкладчика не указан Вкладчиком в платежном поручении - для возврата суммы вклада (депозита) либо в письменном уведомлении Вкладчика, полученном </w:t>
      </w:r>
      <w:proofErr w:type="spellStart"/>
      <w:r w:rsidRPr="000D3A45">
        <w:rPr>
          <w:sz w:val="26"/>
          <w:szCs w:val="26"/>
        </w:rPr>
        <w:t>Вкладополучателем</w:t>
      </w:r>
      <w:proofErr w:type="spellEnd"/>
      <w:r w:rsidRPr="000D3A45">
        <w:rPr>
          <w:sz w:val="26"/>
          <w:szCs w:val="26"/>
        </w:rPr>
        <w:t xml:space="preserve">, – для выплаты процентов.  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4.1.8. В случае, если срок вклада (депозита) оканчивается в нерабочий (выходной, праздничный) день, днем окончания срока вклада (депозита) считается ближайший следующий за ним рабочий день, с начислением процентов за нерабочие (выходные, праздничные) дни по ставке, действовавшей в предшествующий им рабочий день. </w:t>
      </w:r>
    </w:p>
    <w:p w:rsidR="00715553" w:rsidRPr="000D3A45" w:rsidRDefault="00715553" w:rsidP="00715553">
      <w:pPr>
        <w:pStyle w:val="a3"/>
        <w:tabs>
          <w:tab w:val="left" w:pos="0"/>
          <w:tab w:val="left" w:pos="10620"/>
        </w:tabs>
        <w:ind w:right="49"/>
        <w:jc w:val="center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4.2. Размер, порядок начисления и выплаты процентов. 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4.2.1. Размер процентов (процентной ставки) по вкладу (депозиту), указывается в Депозитной заявке.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4.2.2. Проценты начисляются со дня поступления вклада (депозита) </w:t>
      </w:r>
      <w:proofErr w:type="spellStart"/>
      <w:r w:rsidRPr="000D3A45">
        <w:rPr>
          <w:sz w:val="26"/>
          <w:szCs w:val="26"/>
        </w:rPr>
        <w:t>Вкладополучателю</w:t>
      </w:r>
      <w:proofErr w:type="spellEnd"/>
      <w:r w:rsidRPr="000D3A45">
        <w:rPr>
          <w:sz w:val="26"/>
          <w:szCs w:val="26"/>
        </w:rPr>
        <w:t xml:space="preserve"> и по день, предшествующий дню его возврата Вкладчику.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4.2.3. Проценты начисляются на фактический остаток денежных средств во вкладе по ставке (ставкам), действующей</w:t>
      </w:r>
      <w:r>
        <w:rPr>
          <w:sz w:val="26"/>
          <w:szCs w:val="26"/>
        </w:rPr>
        <w:t xml:space="preserve"> </w:t>
      </w:r>
      <w:r w:rsidRPr="000D3A45">
        <w:rPr>
          <w:sz w:val="26"/>
          <w:szCs w:val="26"/>
        </w:rPr>
        <w:t>(им) в расчетном периоде. Сумма начисленных на вклад процентов к сумме вклада не присоединяется.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4.2.4. Начисление процентов на денежные средства во вкладе производится исходя из точного количества дней в году и точного (календарного) количества дней в месяце.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4.2.5.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не вправе в одностороннем порядке изменить размер процентов, выплачиваемых по вкладу.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4.2.6. Проценты Вкладчику начисляются и выплачиваются по окончании срока </w:t>
      </w:r>
      <w:proofErr w:type="gramStart"/>
      <w:r w:rsidRPr="000D3A45">
        <w:rPr>
          <w:sz w:val="26"/>
          <w:szCs w:val="26"/>
        </w:rPr>
        <w:t>вклада,  при</w:t>
      </w:r>
      <w:proofErr w:type="gramEnd"/>
      <w:r w:rsidRPr="000D3A45">
        <w:rPr>
          <w:sz w:val="26"/>
          <w:szCs w:val="26"/>
        </w:rPr>
        <w:t xml:space="preserve"> досрочном возврате всей суммы вклада, при возврате всей суммы невостребованного в срок вклада. Проценты выплачиваются в валюте вклада платежным ордером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>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4.2.7. При досрочном возврате вклада/части вклада проценты на вклад начисляются со дня размещения вклада по ставке, действующей на момент обращения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 xml:space="preserve"> о досрочном возврате (с учетом всех изменений ставки по вкладу), уменьшенной в 2 (два) раза. При досрочном возврате части вклада </w:t>
      </w:r>
      <w:r w:rsidRPr="000D3A45">
        <w:rPr>
          <w:sz w:val="26"/>
          <w:szCs w:val="26"/>
        </w:rPr>
        <w:lastRenderedPageBreak/>
        <w:t xml:space="preserve">проценты не выплачиваются, их выплата производится в соответствии с п.4.2.6. настоящего Генерального соглашения. 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4.2.8. По окончании срока вклада по невостребованному вкладу начисляются проценты по ставке 0,01 (Одна сотая) процента годовых.</w:t>
      </w:r>
    </w:p>
    <w:p w:rsidR="00715553" w:rsidRPr="000D3A45" w:rsidRDefault="00715553" w:rsidP="00715553">
      <w:pPr>
        <w:spacing w:before="12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5.ОТВЕТСТВЕННОСТЬ СТОРОН. РАЗРЕШЕНИЕ СПОРОВ.</w:t>
      </w:r>
    </w:p>
    <w:p w:rsidR="00715553" w:rsidRPr="000D3A45" w:rsidRDefault="00715553" w:rsidP="00715553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5.1. За несвоевременный возврат суммы вклада и (или) несвоевременное перечисление начисленных процентов,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уплачивает Вкладчику пеню в размере 0,1% от суммы несвоевременно возвращенных (уплаченных) средств за каждый день просрочки. Период просрочки возврата вклада исчисляется в зависимости от дня предоставления </w:t>
      </w:r>
      <w:proofErr w:type="spellStart"/>
      <w:r w:rsidRPr="000D3A45">
        <w:rPr>
          <w:sz w:val="26"/>
          <w:szCs w:val="26"/>
        </w:rPr>
        <w:t>Вкладополучателю</w:t>
      </w:r>
      <w:proofErr w:type="spellEnd"/>
      <w:r w:rsidRPr="000D3A45">
        <w:rPr>
          <w:sz w:val="26"/>
          <w:szCs w:val="26"/>
        </w:rPr>
        <w:t xml:space="preserve"> платежного поручения Вкладчиком.</w:t>
      </w:r>
    </w:p>
    <w:p w:rsidR="00715553" w:rsidRPr="000D3A45" w:rsidRDefault="00715553" w:rsidP="00715553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5.2. Споры, возникшие между сторонами в связи с настоящим Генеральным соглашением и не разрешенные ими путем переговоров, подлежат передаче на рассмотрение экономического суда в соответствии с законодательством Республики Беларусь.</w:t>
      </w:r>
    </w:p>
    <w:p w:rsidR="00715553" w:rsidRPr="000D3A45" w:rsidRDefault="00715553" w:rsidP="00715553">
      <w:pPr>
        <w:spacing w:before="12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6.ОБСТОЯТЕЛЬСТВА НЕПРЕОДОЛИМОЙ СИЛЫ.</w:t>
      </w:r>
    </w:p>
    <w:p w:rsidR="00715553" w:rsidRPr="000D3A45" w:rsidRDefault="00715553" w:rsidP="00715553">
      <w:pPr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УСЛОВИЯ ОСВОБОЖДЕНИЯ ОТ ОТВЕТСТВЕННОСТИ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6.1. Стороны освобождаются от ответственности за частичное или полное неисполнение обязательств, возникших в связи с заключением настоящего Генерального соглашения, если неисполнение явилось следствием обстоятельств непреодолимой силы, возникших после заключения настоящего Генерального соглашения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6.2. Сторона, ссылающаяся на такие обстоятельства, обязательства, обязана в 5-ти </w:t>
      </w:r>
      <w:proofErr w:type="spellStart"/>
      <w:r w:rsidRPr="000D3A45">
        <w:rPr>
          <w:sz w:val="26"/>
          <w:szCs w:val="26"/>
        </w:rPr>
        <w:t>дневный</w:t>
      </w:r>
      <w:proofErr w:type="spellEnd"/>
      <w:r w:rsidRPr="000D3A45">
        <w:rPr>
          <w:sz w:val="26"/>
          <w:szCs w:val="26"/>
        </w:rPr>
        <w:t xml:space="preserve"> срок в письменной форме информировать другую сторону о наступлении подобных обстоятельств, предоставив документы, подтверждающие существование и продолжительность таких обстоятельств.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6.3.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также освобождается от ответственности за нарушение условий настоящего Генерального соглашения, если такие нарушения вызваны вступлением в силу актов государственных органов о приостановлении (запрещении) проведения операций по счету.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6.4.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не несет ответственности за убытки, причиненные Вкладчику в случае, если Вкладчик своевременно не уведомил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 xml:space="preserve"> об изменениях полномочий лиц, имеющих право распоряжаться счетом.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6.5. </w:t>
      </w:r>
      <w:proofErr w:type="spellStart"/>
      <w:r w:rsidRPr="000D3A45">
        <w:rPr>
          <w:sz w:val="26"/>
          <w:szCs w:val="26"/>
        </w:rPr>
        <w:t>Вкладополучатель</w:t>
      </w:r>
      <w:proofErr w:type="spellEnd"/>
      <w:r w:rsidRPr="000D3A45">
        <w:rPr>
          <w:sz w:val="26"/>
          <w:szCs w:val="26"/>
        </w:rPr>
        <w:t xml:space="preserve"> не несет ответственности за убытки, причиненные Вкладчику вследствие неисполнения платежных инструкций Вкладчика, вызванного несвоевременной заменой карточки с образцами подписей и оттиска печати.</w:t>
      </w:r>
    </w:p>
    <w:p w:rsidR="00715553" w:rsidRPr="000D3A45" w:rsidRDefault="00715553" w:rsidP="00715553">
      <w:pPr>
        <w:spacing w:before="12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7.ПРОЧИЕ УСЛОВИЯ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7.1. Все предусмотренные настоящим Генеральным соглашением письменные уведомления, ходатайства, переписка отправляемые Сторонами друг другу в рамках исполнения своих обязательств направляются адресатам посредством одного или нескольких видов связи: системы дистанционного банковского обслуживания, почтового отправления с уведомлением о вручении, вручение под роспись. </w:t>
      </w:r>
      <w:r w:rsidRPr="000D3A45">
        <w:rPr>
          <w:sz w:val="26"/>
          <w:szCs w:val="26"/>
        </w:rPr>
        <w:lastRenderedPageBreak/>
        <w:t>Использование электронной почты допускается только для передачи Депозитных заявок с обязательной досылкой оригинала.</w:t>
      </w:r>
    </w:p>
    <w:p w:rsidR="00715553" w:rsidRPr="000D3A45" w:rsidRDefault="00715553" w:rsidP="00715553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7.2. Вкладчик в трехдневный срок обязан письменно уведомлять </w:t>
      </w:r>
      <w:proofErr w:type="spellStart"/>
      <w:r w:rsidRPr="000D3A45">
        <w:rPr>
          <w:sz w:val="26"/>
          <w:szCs w:val="26"/>
        </w:rPr>
        <w:t>Вкладополучателя</w:t>
      </w:r>
      <w:proofErr w:type="spellEnd"/>
      <w:r w:rsidRPr="000D3A45">
        <w:rPr>
          <w:sz w:val="26"/>
          <w:szCs w:val="26"/>
        </w:rPr>
        <w:t xml:space="preserve"> об изменении представленных им при заключении настоящего договора сведений, идентифицирующих Вкладчика и имеющих значение для его надлежащего исполнения, в том числе полномочий представителей.</w:t>
      </w:r>
    </w:p>
    <w:p w:rsidR="00715553" w:rsidRPr="000D3A45" w:rsidRDefault="00715553" w:rsidP="00715553">
      <w:pPr>
        <w:tabs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>7.3. Изменение условий настоящего Генерального соглашения, его расторжение и прекращение допускаются по соглашению сторон.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7.4. Во всем остальном, что не предусмотрено настоящим Генеральным соглашением стороны руководствуются законодательством Республики Беларусь.</w:t>
      </w:r>
    </w:p>
    <w:p w:rsidR="00715553" w:rsidRPr="000D3A45" w:rsidRDefault="00715553" w:rsidP="00715553">
      <w:pPr>
        <w:ind w:right="49"/>
        <w:jc w:val="both"/>
        <w:rPr>
          <w:sz w:val="26"/>
          <w:szCs w:val="26"/>
        </w:rPr>
      </w:pPr>
      <w:r w:rsidRPr="000D3A45">
        <w:rPr>
          <w:sz w:val="26"/>
          <w:szCs w:val="26"/>
        </w:rPr>
        <w:t>7.5. Настоящее Генеральное соглашение составлено в двух экземплярах, имеющих одинаковую юридическую силу, по одному для каждой стороны.</w:t>
      </w:r>
    </w:p>
    <w:p w:rsidR="00715553" w:rsidRPr="000D3A45" w:rsidRDefault="00715553" w:rsidP="00715553">
      <w:pPr>
        <w:tabs>
          <w:tab w:val="left" w:pos="851"/>
          <w:tab w:val="left" w:pos="6237"/>
        </w:tabs>
        <w:jc w:val="both"/>
        <w:rPr>
          <w:sz w:val="26"/>
          <w:szCs w:val="26"/>
        </w:rPr>
      </w:pPr>
      <w:r w:rsidRPr="000D3A45">
        <w:rPr>
          <w:sz w:val="26"/>
          <w:szCs w:val="26"/>
        </w:rPr>
        <w:t xml:space="preserve">7.6. До сведения Вкладчика доведено, что право на привлечение денежных средств юридических лиц во вклады (депозиты) предоставлено </w:t>
      </w:r>
      <w:proofErr w:type="spellStart"/>
      <w:r w:rsidRPr="000D3A45">
        <w:rPr>
          <w:sz w:val="26"/>
          <w:szCs w:val="26"/>
        </w:rPr>
        <w:t>Вкладополучателю</w:t>
      </w:r>
      <w:proofErr w:type="spellEnd"/>
      <w:r w:rsidRPr="000D3A45">
        <w:rPr>
          <w:sz w:val="26"/>
          <w:szCs w:val="26"/>
        </w:rPr>
        <w:t xml:space="preserve"> на основании лицензии на осуществление банковской деятельности, выданной Национальным банком Республики Беларусь </w:t>
      </w:r>
      <w:r w:rsidRPr="002C0225">
        <w:rPr>
          <w:i/>
          <w:sz w:val="26"/>
          <w:szCs w:val="26"/>
        </w:rPr>
        <w:t>дата и номер</w:t>
      </w:r>
      <w:r w:rsidRPr="000D3A45">
        <w:rPr>
          <w:sz w:val="26"/>
          <w:szCs w:val="26"/>
        </w:rPr>
        <w:t>.</w:t>
      </w:r>
    </w:p>
    <w:p w:rsidR="00715553" w:rsidRPr="000D3A45" w:rsidRDefault="00715553" w:rsidP="00715553">
      <w:pPr>
        <w:spacing w:before="120"/>
        <w:ind w:right="142"/>
        <w:jc w:val="center"/>
        <w:rPr>
          <w:sz w:val="26"/>
          <w:szCs w:val="26"/>
        </w:rPr>
      </w:pPr>
      <w:r w:rsidRPr="000D3A45">
        <w:rPr>
          <w:sz w:val="26"/>
          <w:szCs w:val="26"/>
        </w:rPr>
        <w:t>8. ПОДПИСИ СТОРОН</w:t>
      </w:r>
    </w:p>
    <w:p w:rsidR="00715553" w:rsidRPr="000D3A45" w:rsidRDefault="00715553" w:rsidP="00715553">
      <w:pPr>
        <w:spacing w:before="120"/>
        <w:ind w:right="142"/>
        <w:jc w:val="center"/>
        <w:rPr>
          <w:sz w:val="26"/>
          <w:szCs w:val="26"/>
        </w:rPr>
      </w:pPr>
    </w:p>
    <w:p w:rsidR="00715553" w:rsidRPr="000D3A45" w:rsidRDefault="00715553" w:rsidP="00715553">
      <w:pPr>
        <w:pStyle w:val="a3"/>
        <w:tabs>
          <w:tab w:val="left" w:pos="708"/>
        </w:tabs>
        <w:ind w:right="142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>8.1. От имени Вкладчика              _______________________ /______________/</w:t>
      </w:r>
    </w:p>
    <w:p w:rsidR="00715553" w:rsidRPr="000D3A45" w:rsidRDefault="00715553" w:rsidP="00715553">
      <w:pPr>
        <w:pStyle w:val="a3"/>
        <w:tabs>
          <w:tab w:val="left" w:pos="708"/>
        </w:tabs>
        <w:ind w:right="142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ab/>
        <w:t xml:space="preserve">                                              М.П.</w:t>
      </w:r>
    </w:p>
    <w:p w:rsidR="00715553" w:rsidRPr="000D3A45" w:rsidRDefault="00715553" w:rsidP="00715553">
      <w:pPr>
        <w:pStyle w:val="a3"/>
        <w:tabs>
          <w:tab w:val="left" w:pos="708"/>
        </w:tabs>
        <w:ind w:right="142"/>
        <w:rPr>
          <w:b w:val="0"/>
          <w:sz w:val="26"/>
          <w:szCs w:val="26"/>
        </w:rPr>
      </w:pPr>
    </w:p>
    <w:p w:rsidR="00715553" w:rsidRPr="000D3A45" w:rsidRDefault="00715553" w:rsidP="00715553">
      <w:pPr>
        <w:pStyle w:val="a3"/>
        <w:ind w:right="-6"/>
        <w:rPr>
          <w:b w:val="0"/>
          <w:sz w:val="26"/>
          <w:szCs w:val="26"/>
        </w:rPr>
      </w:pPr>
      <w:r w:rsidRPr="000D3A45">
        <w:rPr>
          <w:b w:val="0"/>
          <w:sz w:val="26"/>
          <w:szCs w:val="26"/>
        </w:rPr>
        <w:t xml:space="preserve">8.2. От имени </w:t>
      </w:r>
      <w:proofErr w:type="spellStart"/>
      <w:r w:rsidRPr="000D3A45">
        <w:rPr>
          <w:b w:val="0"/>
          <w:sz w:val="26"/>
          <w:szCs w:val="26"/>
        </w:rPr>
        <w:t>Вкладополучателя</w:t>
      </w:r>
      <w:proofErr w:type="spellEnd"/>
      <w:r w:rsidRPr="000D3A45">
        <w:rPr>
          <w:b w:val="0"/>
          <w:sz w:val="26"/>
          <w:szCs w:val="26"/>
        </w:rPr>
        <w:t xml:space="preserve"> _______________________/______________/</w:t>
      </w:r>
    </w:p>
    <w:p w:rsidR="0062759A" w:rsidRDefault="00715553" w:rsidP="00C24D38">
      <w:pPr>
        <w:ind w:left="3686" w:right="49"/>
        <w:jc w:val="both"/>
      </w:pPr>
      <w:bookmarkStart w:id="0" w:name="_GoBack"/>
      <w:bookmarkEnd w:id="0"/>
      <w:r w:rsidRPr="000D3A45">
        <w:t>М.П.</w:t>
      </w:r>
      <w:r w:rsidRPr="000D3A45">
        <w:tab/>
        <w:t xml:space="preserve">                                              </w:t>
      </w:r>
    </w:p>
    <w:sectPr w:rsidR="0062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53"/>
    <w:rsid w:val="0062759A"/>
    <w:rsid w:val="00715553"/>
    <w:rsid w:val="00C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18EA2F-4B9F-4B61-A7BE-A73B4582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5553"/>
    <w:pPr>
      <w:tabs>
        <w:tab w:val="left" w:pos="9360"/>
      </w:tabs>
      <w:spacing w:before="6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1555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715553"/>
    <w:pPr>
      <w:tabs>
        <w:tab w:val="left" w:pos="360"/>
      </w:tabs>
      <w:spacing w:before="60"/>
      <w:jc w:val="both"/>
    </w:pPr>
    <w:rPr>
      <w:iCs/>
      <w:sz w:val="28"/>
    </w:rPr>
  </w:style>
  <w:style w:type="character" w:customStyle="1" w:styleId="20">
    <w:name w:val="Основной текст 2 Знак"/>
    <w:basedOn w:val="a0"/>
    <w:link w:val="2"/>
    <w:rsid w:val="00715553"/>
    <w:rPr>
      <w:rFonts w:ascii="Times New Roman" w:eastAsia="Times New Roman" w:hAnsi="Times New Roman" w:cs="Times New Roman"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Артишевский Виктор Васильевич</dc:creator>
  <cp:keywords/>
  <dc:description/>
  <cp:lastModifiedBy>Артишевский Виктор Васильевич</cp:lastModifiedBy>
  <cp:revision>2</cp:revision>
  <dcterms:created xsi:type="dcterms:W3CDTF">2023-10-03T06:23:00Z</dcterms:created>
  <dcterms:modified xsi:type="dcterms:W3CDTF">2023-10-03T07:59:00Z</dcterms:modified>
</cp:coreProperties>
</file>